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7" w:rsidRDefault="006F0C47" w:rsidP="006F0C4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3045"/>
        <w:gridCol w:w="3073"/>
      </w:tblGrid>
      <w:tr w:rsidR="00C42348" w:rsidRPr="00C521EF" w:rsidTr="009C269E">
        <w:tc>
          <w:tcPr>
            <w:tcW w:w="3273" w:type="dxa"/>
          </w:tcPr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Педсовет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C73">
              <w:rPr>
                <w:rFonts w:asciiTheme="majorBidi" w:hAnsiTheme="majorBidi" w:cstheme="majorBidi"/>
                <w:sz w:val="24"/>
                <w:szCs w:val="24"/>
              </w:rPr>
              <w:t>Пустовойтенко</w:t>
            </w:r>
            <w:proofErr w:type="spellEnd"/>
            <w:r w:rsidRPr="00345C73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№№3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“11.05.2023”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348" w:rsidRPr="00C521EF" w:rsidRDefault="00C42348" w:rsidP="009C26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председатель совета учреждения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Башмакова С.В.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 5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“12.05.2023”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5C73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C42348" w:rsidRPr="00345C73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45C73">
              <w:rPr>
                <w:rFonts w:asciiTheme="majorBidi" w:hAnsiTheme="majorBidi" w:cstheme="majorBidi"/>
                <w:sz w:val="24"/>
                <w:szCs w:val="24"/>
              </w:rPr>
              <w:t>Пустовойтенко</w:t>
            </w:r>
            <w:proofErr w:type="spellEnd"/>
            <w:r w:rsidRPr="00345C73">
              <w:rPr>
                <w:rFonts w:asciiTheme="majorBidi" w:hAnsiTheme="majorBidi" w:cstheme="majorBidi"/>
                <w:sz w:val="24"/>
                <w:szCs w:val="24"/>
              </w:rPr>
              <w:t xml:space="preserve"> Н.А.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 36-о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“15.05.2023”</w:t>
            </w:r>
          </w:p>
          <w:p w:rsidR="00C42348" w:rsidRPr="00C521EF" w:rsidRDefault="00C42348" w:rsidP="009C269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42348" w:rsidRDefault="00C42348" w:rsidP="00640024">
      <w:pPr>
        <w:jc w:val="center"/>
        <w:rPr>
          <w:b/>
          <w:sz w:val="28"/>
          <w:szCs w:val="28"/>
        </w:rPr>
      </w:pPr>
    </w:p>
    <w:p w:rsidR="00C2020E" w:rsidRDefault="00C2020E" w:rsidP="00640024">
      <w:pPr>
        <w:jc w:val="center"/>
        <w:rPr>
          <w:b/>
          <w:sz w:val="28"/>
          <w:szCs w:val="28"/>
        </w:rPr>
      </w:pPr>
      <w:r w:rsidRPr="00D26B26">
        <w:rPr>
          <w:b/>
          <w:sz w:val="28"/>
          <w:szCs w:val="28"/>
        </w:rPr>
        <w:t>Учебный план ФГОС СОО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 приказ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17.05.2012 № 413</w:t>
      </w:r>
    </w:p>
    <w:p w:rsidR="00C2020E" w:rsidRPr="00BF5D2D" w:rsidRDefault="00BF5D2D" w:rsidP="00BF5D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2D">
        <w:rPr>
          <w:rStyle w:val="doccaption"/>
          <w:rFonts w:ascii="Times New Roman" w:hAnsi="Times New Roman" w:cs="Times New Roman"/>
        </w:rPr>
        <w:t>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Примерная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ООП СОО, одобрена решением федерального УМО по общему образованию (приказ от 28.06.2016 № 2/16-з);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ФГОС СОО»;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воспитания детей и молодёжи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20.06.2017 № ТС 194/08 «Об организации изучения учебного предмета «Астрономия»;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02.06. 2018 № 05-192 «О вопросах изучения родных языков из числа языков народов РФ»;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20.12.2018 № 03-510 «О направлении информации» (вместе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республик  РФ, родных языков из числа языков народов РФ, в том числе русского как родного»);</w:t>
      </w:r>
    </w:p>
    <w:p w:rsidR="00C2020E" w:rsidRPr="00A2078E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России от 20.05.2013 № 08-585 «О формировании 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мировоззрения учащихся (методические рекомендации);</w:t>
      </w:r>
    </w:p>
    <w:p w:rsidR="00BF5D2D" w:rsidRPr="00BF5D2D" w:rsidRDefault="00D447F9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F5D2D" w:rsidRPr="00BF5D2D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Главного государственного санитарного врача РФ от 28 сентября 2020 г. № 28</w:t>
        </w:r>
      </w:hyperlink>
      <w:r w:rsidR="00BF5D2D" w:rsidRPr="00BF5D2D">
        <w:rPr>
          <w:rFonts w:ascii="Times New Roman" w:hAnsi="Times New Roman" w:cs="Times New Roman"/>
          <w:sz w:val="24"/>
          <w:szCs w:val="24"/>
        </w:rPr>
        <w:t xml:space="preserve">  Санитарно-эпидемиологические требования к образовательным организациям; </w:t>
      </w:r>
    </w:p>
    <w:p w:rsidR="00C2020E" w:rsidRPr="00BF5D2D" w:rsidRDefault="00C2020E" w:rsidP="006F0C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D2D">
        <w:rPr>
          <w:rFonts w:ascii="Times New Roman" w:hAnsi="Times New Roman" w:cs="Times New Roman"/>
          <w:sz w:val="24"/>
          <w:szCs w:val="24"/>
        </w:rPr>
        <w:t>Положение о Всероссийском физкультурно-спортивном комплексе «Готов к труду и обороне» (Постановление Правительства РФ от 11.06. 2014 № 540)</w:t>
      </w:r>
    </w:p>
    <w:p w:rsidR="00C2020E" w:rsidRPr="00A2078E" w:rsidRDefault="00C2020E" w:rsidP="006F0C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Учебный план обеспечивает введение в действие и реализацию требований ФГОС СОО, определяет общий объём нагрузки и  максимальный объём </w:t>
      </w:r>
      <w:r w:rsidRPr="00A2078E">
        <w:rPr>
          <w:rFonts w:ascii="Times New Roman" w:hAnsi="Times New Roman" w:cs="Times New Roman"/>
          <w:sz w:val="24"/>
          <w:szCs w:val="24"/>
        </w:rPr>
        <w:lastRenderedPageBreak/>
        <w:t>аудиторной нагрузки обучающихся, состав и структуру обязательных предметных областей и учебных предметов по классам (годам обучения). Пункт 18.3.1. ФГОС СОО устанавливает не только обязательные предметные области, но и обязательные предметы, которые должны быть отражены в учебном плане.</w:t>
      </w:r>
    </w:p>
    <w:p w:rsidR="00C2020E" w:rsidRPr="00A2078E" w:rsidRDefault="00C2020E" w:rsidP="006F0C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</w:t>
      </w:r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Предметная область «Русский язык и литература», включающая  учебные предметы «Русский язык» «Литература» (Б,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уровнях);</w:t>
      </w:r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Предметная область «Родной язык и родная литература», включающая  учебные предметы «Родной язык» «Родная литература» (Б,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уровнях);</w:t>
      </w:r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 xml:space="preserve">Предметная область «Иностранный язык», включающая  учебные предметы «Иностранный язык», «Второй иностранный язык»  (Б, </w:t>
      </w:r>
      <w:proofErr w:type="gramStart"/>
      <w:r w:rsidRPr="00A207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2078E">
        <w:rPr>
          <w:rFonts w:ascii="Times New Roman" w:hAnsi="Times New Roman" w:cs="Times New Roman"/>
          <w:sz w:val="24"/>
          <w:szCs w:val="24"/>
        </w:rPr>
        <w:t xml:space="preserve"> уровнях);</w:t>
      </w:r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Предметная область «Общественные науки»,  включающая  учебные предметы «История», «География», «Экономика», «Право», «Обществознание», (Б, У уровнях); «Россия в мире»  (Б уровне);</w:t>
      </w:r>
      <w:proofErr w:type="gramEnd"/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Предметная область «Математика и информатика»,  включающая  (</w:t>
      </w:r>
      <w:proofErr w:type="spellStart"/>
      <w:r w:rsidRPr="00A2078E">
        <w:rPr>
          <w:rFonts w:ascii="Times New Roman" w:hAnsi="Times New Roman" w:cs="Times New Roman"/>
          <w:sz w:val="24"/>
          <w:szCs w:val="24"/>
        </w:rPr>
        <w:t>чебные</w:t>
      </w:r>
      <w:proofErr w:type="spellEnd"/>
      <w:r w:rsidRPr="00A2078E">
        <w:rPr>
          <w:rFonts w:ascii="Times New Roman" w:hAnsi="Times New Roman" w:cs="Times New Roman"/>
          <w:sz w:val="24"/>
          <w:szCs w:val="24"/>
        </w:rPr>
        <w:t xml:space="preserve"> предметы «Математика» (алгебра и начала математического анализа, геометрия), «Информатика»  (Б, У уровнях);</w:t>
      </w:r>
      <w:proofErr w:type="gramEnd"/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78E">
        <w:rPr>
          <w:rFonts w:ascii="Times New Roman" w:hAnsi="Times New Roman" w:cs="Times New Roman"/>
          <w:sz w:val="24"/>
          <w:szCs w:val="24"/>
        </w:rPr>
        <w:t>Предметная область «Естественные науки»,  включающая  учебные предметы «Физика», «Биология», «Химия»  (Б, У уровнях); «Естествознание» (Б уровне), «Астрономия» »  (Б уровне);</w:t>
      </w:r>
      <w:proofErr w:type="gramEnd"/>
    </w:p>
    <w:p w:rsidR="00C2020E" w:rsidRPr="00A2078E" w:rsidRDefault="00C2020E" w:rsidP="006F0C4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8E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культура, экология и основы безопасности жизнедеятельности»,  включающая  учебные предметы  «Физическая культура», «Основы безопасности жизнедеятельности», «География», «Экология  (Б уровне).</w:t>
      </w:r>
    </w:p>
    <w:p w:rsidR="00C2020E" w:rsidRPr="00A2078E" w:rsidRDefault="00C2020E" w:rsidP="006F0C47">
      <w:pPr>
        <w:pStyle w:val="a5"/>
        <w:spacing w:before="0" w:beforeAutospacing="0" w:after="0" w:afterAutospacing="0"/>
        <w:jc w:val="both"/>
      </w:pPr>
      <w:r w:rsidRPr="00A2078E">
        <w:t xml:space="preserve">Учебный план профиля содержит не менее 12 учебных предметов, с учетом минимум одного предмета из каждой предметной области. Обязательными для изучения являются предметы: </w:t>
      </w:r>
      <w:proofErr w:type="gramStart"/>
      <w:r w:rsidRPr="00A2078E">
        <w:t>«Русский язык», «Литература» «Иностранный язык», «Математика», «История», «Физическая культура», «Основы безопасности жизнедеятельности», «Астрономия».</w:t>
      </w:r>
      <w:proofErr w:type="gramEnd"/>
      <w:r w:rsidRPr="00A2078E">
        <w:t xml:space="preserve"> Оставшиеся предметы выбираются с учётом </w:t>
      </w:r>
      <w:r w:rsidRPr="00A2078E">
        <w:rPr>
          <w:rFonts w:eastAsia="Times New Roman CYR"/>
        </w:rPr>
        <w:t>реализации интересов и потребностей обучающихся и их родителей (законных представителей).</w:t>
      </w:r>
      <w:r w:rsidRPr="00A2078E">
        <w:t xml:space="preserve"> Предмет «Технология» реализуется в объёме 1 час в неделю с учетом авторской программы и федерального перечня учебников. Учебным планом предусмотрено выполнение </w:t>
      </w:r>
      <w:proofErr w:type="gramStart"/>
      <w:r w:rsidRPr="00A2078E">
        <w:t>обучающимися</w:t>
      </w:r>
      <w:proofErr w:type="gramEnd"/>
      <w:r w:rsidRPr="00A2078E">
        <w:t xml:space="preserve"> индивидуального проекта. Индивидуальный проект представляет собой особую форму организации деятельности </w:t>
      </w:r>
      <w:proofErr w:type="gramStart"/>
      <w:r w:rsidRPr="00A2078E">
        <w:t>обучающихся</w:t>
      </w:r>
      <w:proofErr w:type="gramEnd"/>
      <w:r w:rsidRPr="00A2078E">
        <w:t xml:space="preserve"> (учебное исследование или учебный проект). </w:t>
      </w:r>
      <w:proofErr w:type="gramStart"/>
      <w:r w:rsidRPr="00A2078E">
        <w:t>Индивидуальный проект выполняется обучающимся самостоятельно под руководством учителя (</w:t>
      </w:r>
      <w:proofErr w:type="spellStart"/>
      <w:r w:rsidRPr="00A2078E">
        <w:t>тьютора</w:t>
      </w:r>
      <w:proofErr w:type="spellEnd"/>
      <w:r w:rsidRPr="00A2078E"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C2020E" w:rsidRPr="00A2078E" w:rsidRDefault="00C2020E" w:rsidP="006F0C47">
      <w:pPr>
        <w:pStyle w:val="a5"/>
        <w:spacing w:before="0" w:beforeAutospacing="0" w:after="0" w:afterAutospacing="0"/>
        <w:jc w:val="both"/>
      </w:pPr>
      <w:r w:rsidRPr="00A2078E">
        <w:t xml:space="preserve">Учебный план определяет на одного обучающегося за 2 года обучения 2346 часов. </w:t>
      </w:r>
    </w:p>
    <w:p w:rsidR="00C2020E" w:rsidRPr="00A2078E" w:rsidRDefault="00C2020E" w:rsidP="006F0C47">
      <w:pPr>
        <w:ind w:right="-21"/>
        <w:jc w:val="both"/>
      </w:pPr>
      <w:r w:rsidRPr="00A2078E">
        <w:t>Продолжительность учебного года в 10 классах – 35 недель, в 11 классах – 34 недели (без учета экзаменационного периода государственной (итоговой) аттестации выпускников общеобразовательных учреждений) при 5-дневной рабочей неделе. Продолжительность урока – 40 минут. Продолжительность каникул в течение учебного года составляет 30 календарных дней, летом – не менее 8 недель.</w:t>
      </w:r>
      <w:r>
        <w:t xml:space="preserve"> </w:t>
      </w:r>
      <w:r w:rsidRPr="00A2078E">
        <w:lastRenderedPageBreak/>
        <w:t xml:space="preserve">Промежуточная аттестация проводится с целью оценки качества освоения </w:t>
      </w:r>
      <w:proofErr w:type="gramStart"/>
      <w:r w:rsidRPr="00A2078E">
        <w:t>обучающимися</w:t>
      </w:r>
      <w:proofErr w:type="gramEnd"/>
      <w:r w:rsidRPr="00A2078E">
        <w:t xml:space="preserve"> части содержания (оценивание по полугодиям) или всего объема учебной дисциплины за учебный год (годовое оценивание).</w:t>
      </w:r>
      <w:r>
        <w:t xml:space="preserve"> </w:t>
      </w:r>
      <w:r w:rsidRPr="00A2078E">
        <w:t>Годовая промежуточная аттестация осуществляется в течение последней недели учебного года.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«</w:t>
      </w:r>
      <w:proofErr w:type="spellStart"/>
      <w:r w:rsidRPr="00A2078E">
        <w:t>Поспелихинская</w:t>
      </w:r>
      <w:proofErr w:type="spellEnd"/>
      <w:r w:rsidRPr="00A2078E">
        <w:t xml:space="preserve"> СОШ №1».</w:t>
      </w:r>
    </w:p>
    <w:p w:rsidR="00C2020E" w:rsidRDefault="00C2020E" w:rsidP="006F0C47">
      <w:pPr>
        <w:ind w:right="-21" w:firstLine="708"/>
        <w:jc w:val="both"/>
      </w:pPr>
      <w:r w:rsidRPr="00A2078E">
        <w:t>Эффективное достижение целей возможно при введении профильного обучения.</w:t>
      </w:r>
    </w:p>
    <w:p w:rsidR="00C2020E" w:rsidRPr="00A2078E" w:rsidRDefault="006F6891" w:rsidP="006F6891">
      <w:pPr>
        <w:jc w:val="center"/>
      </w:pPr>
      <w:r w:rsidRPr="00B5465F">
        <w:rPr>
          <w:b/>
        </w:rPr>
        <w:t>Учебный план ФГОС СОО 1</w:t>
      </w:r>
      <w:r w:rsidR="00C42348">
        <w:rPr>
          <w:b/>
        </w:rPr>
        <w:t xml:space="preserve">1 </w:t>
      </w:r>
      <w:r w:rsidRPr="00B5465F">
        <w:rPr>
          <w:b/>
        </w:rPr>
        <w:t>класс</w:t>
      </w:r>
    </w:p>
    <w:p w:rsidR="006F6891" w:rsidRDefault="00C2020E" w:rsidP="006F6891">
      <w:pPr>
        <w:jc w:val="center"/>
      </w:pPr>
      <w:r w:rsidRPr="00A2078E">
        <w:rPr>
          <w:b/>
        </w:rPr>
        <w:t>Технологический профиль</w:t>
      </w:r>
    </w:p>
    <w:p w:rsidR="00C2020E" w:rsidRDefault="006F6891" w:rsidP="006F6891">
      <w:pPr>
        <w:jc w:val="center"/>
      </w:pPr>
      <w:r w:rsidRPr="00A2078E">
        <w:rPr>
          <w:b/>
        </w:rPr>
        <w:t>Технологический профиль</w:t>
      </w:r>
      <w:r>
        <w:rPr>
          <w:b/>
        </w:rPr>
        <w:t xml:space="preserve"> </w:t>
      </w:r>
      <w:r w:rsidR="00C2020E" w:rsidRPr="00A2078E">
        <w:t>ориентирован на производственную, инженерную и информационную сферы деятельности, с углубленным изучением математики, информатики и физики.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3542"/>
        <w:gridCol w:w="1503"/>
        <w:gridCol w:w="1193"/>
      </w:tblGrid>
      <w:tr w:rsidR="006F6891" w:rsidRPr="00A2078E" w:rsidTr="00790462">
        <w:trPr>
          <w:trHeight w:val="110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jc w:val="center"/>
              <w:rPr>
                <w:b/>
              </w:rPr>
            </w:pPr>
            <w:r w:rsidRPr="00A2078E">
              <w:rPr>
                <w:b/>
              </w:rPr>
              <w:t>Предметная область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jc w:val="center"/>
              <w:rPr>
                <w:b/>
              </w:rPr>
            </w:pPr>
            <w:r w:rsidRPr="00A2078E">
              <w:rPr>
                <w:b/>
              </w:rPr>
              <w:t>Учебный предмет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rPr>
                <w:b/>
              </w:rPr>
            </w:pPr>
            <w:r w:rsidRPr="00A2078E">
              <w:rPr>
                <w:b/>
              </w:rPr>
              <w:t>Количество</w:t>
            </w:r>
          </w:p>
          <w:p w:rsidR="006F6891" w:rsidRPr="00A2078E" w:rsidRDefault="006F6891" w:rsidP="006D511F">
            <w:pPr>
              <w:rPr>
                <w:b/>
              </w:rPr>
            </w:pPr>
            <w:r w:rsidRPr="00A2078E">
              <w:rPr>
                <w:b/>
              </w:rPr>
              <w:t xml:space="preserve"> часов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91" w:rsidRDefault="006F6891">
            <w:pPr>
              <w:spacing w:after="200" w:line="276" w:lineRule="auto"/>
              <w:rPr>
                <w:b/>
              </w:rPr>
            </w:pPr>
          </w:p>
          <w:p w:rsidR="006F6891" w:rsidRPr="00A2078E" w:rsidRDefault="006F6891" w:rsidP="006F6891">
            <w:pPr>
              <w:rPr>
                <w:b/>
              </w:rPr>
            </w:pPr>
          </w:p>
        </w:tc>
      </w:tr>
      <w:tr w:rsidR="006F6891" w:rsidRPr="00A2078E" w:rsidTr="00790462">
        <w:trPr>
          <w:trHeight w:val="41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jc w:val="center"/>
              <w:rPr>
                <w:b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91" w:rsidRDefault="006F6891" w:rsidP="006F6891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6F6891" w:rsidRPr="00A2078E" w:rsidTr="006F68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Русский язык и литература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 xml:space="preserve">Русский язык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F6891">
            <w:r>
              <w:t>1</w:t>
            </w:r>
          </w:p>
        </w:tc>
      </w:tr>
      <w:tr w:rsidR="006F6891" w:rsidRPr="00A2078E" w:rsidTr="006F68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Литература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F6891">
            <w:r>
              <w:t>3</w:t>
            </w:r>
          </w:p>
        </w:tc>
      </w:tr>
      <w:tr w:rsidR="006F6891" w:rsidRPr="00A2078E" w:rsidTr="006F68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Родной язык и родная литература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Родной 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F6891">
            <w:r w:rsidRPr="00A2078E">
              <w:t>1 (</w:t>
            </w:r>
            <w:r>
              <w:t>1</w:t>
            </w:r>
            <w:r w:rsidRPr="00A2078E">
              <w:t xml:space="preserve"> полугод)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F6891">
            <w:r w:rsidRPr="00A2078E">
              <w:t>1 (</w:t>
            </w:r>
            <w:r>
              <w:t xml:space="preserve">2 </w:t>
            </w:r>
            <w:r w:rsidRPr="00A2078E">
              <w:t>полугод)</w:t>
            </w:r>
          </w:p>
        </w:tc>
      </w:tr>
      <w:tr w:rsidR="006F6891" w:rsidRPr="00A2078E" w:rsidTr="006F68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Математика и информатика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Математика: алгебра и начала математического анализа, геометрия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6</w:t>
            </w:r>
          </w:p>
        </w:tc>
      </w:tr>
      <w:tr w:rsidR="006F6891" w:rsidRPr="00A2078E" w:rsidTr="006F68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Информатика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4</w:t>
            </w:r>
          </w:p>
        </w:tc>
      </w:tr>
      <w:tr w:rsidR="006F6891" w:rsidRPr="00A2078E" w:rsidTr="006F68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Иностранные языки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Иностранный язык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3</w:t>
            </w:r>
          </w:p>
        </w:tc>
      </w:tr>
      <w:tr w:rsidR="006F6891" w:rsidRPr="00A2078E" w:rsidTr="006F6891">
        <w:trPr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Естественные науки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Физика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5</w:t>
            </w:r>
          </w:p>
        </w:tc>
      </w:tr>
      <w:tr w:rsidR="006F6891" w:rsidRPr="00A2078E" w:rsidTr="006F6891">
        <w:trPr>
          <w:trHeight w:val="3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Астрономия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F6891">
            <w:r w:rsidRPr="00A2078E">
              <w:t>1(</w:t>
            </w:r>
            <w:r>
              <w:t>2</w:t>
            </w:r>
            <w:r w:rsidRPr="00A2078E">
              <w:t xml:space="preserve"> полугод)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F6891">
            <w:r w:rsidRPr="00A2078E">
              <w:t>1(</w:t>
            </w:r>
            <w:r>
              <w:t>1</w:t>
            </w:r>
            <w:r w:rsidRPr="00A2078E">
              <w:t>полугод)</w:t>
            </w:r>
          </w:p>
        </w:tc>
      </w:tr>
      <w:tr w:rsidR="006F6891" w:rsidRPr="00A2078E" w:rsidTr="006F6891">
        <w:trPr>
          <w:trHeight w:val="28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Биология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1</w:t>
            </w:r>
          </w:p>
        </w:tc>
      </w:tr>
      <w:tr w:rsidR="006F6891" w:rsidRPr="00A2078E" w:rsidTr="006F6891">
        <w:trPr>
          <w:trHeight w:val="25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Химия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1</w:t>
            </w:r>
          </w:p>
        </w:tc>
      </w:tr>
      <w:tr w:rsidR="006F6891" w:rsidRPr="00A2078E" w:rsidTr="006F68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Общественные науки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История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2</w:t>
            </w:r>
          </w:p>
        </w:tc>
      </w:tr>
      <w:tr w:rsidR="006F6891" w:rsidRPr="00A2078E" w:rsidTr="006F6891">
        <w:trPr>
          <w:trHeight w:val="3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Обществознание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2</w:t>
            </w:r>
          </w:p>
        </w:tc>
      </w:tr>
      <w:tr w:rsidR="006F6891" w:rsidRPr="00A2078E" w:rsidTr="006F689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Физическая культура, экология и основы безопасности жизнедеятельности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Физическая культура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3</w:t>
            </w:r>
          </w:p>
        </w:tc>
      </w:tr>
      <w:tr w:rsidR="006F6891" w:rsidRPr="00A2078E" w:rsidTr="006F6891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Основы безопасности жизнедеятельности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1</w:t>
            </w:r>
          </w:p>
        </w:tc>
      </w:tr>
      <w:tr w:rsidR="006F6891" w:rsidRPr="00A2078E" w:rsidTr="006F68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roofErr w:type="gramStart"/>
            <w:r w:rsidRPr="00A2078E">
              <w:t>Индивидуальный проект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1</w:t>
            </w:r>
          </w:p>
          <w:p w:rsidR="006F6891" w:rsidRPr="00A2078E" w:rsidRDefault="006F6891" w:rsidP="006D511F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>
            <w:r w:rsidRPr="00A2078E">
              <w:t>1</w:t>
            </w:r>
          </w:p>
          <w:p w:rsidR="006F6891" w:rsidRPr="00A2078E" w:rsidRDefault="006F6891" w:rsidP="006D511F"/>
        </w:tc>
      </w:tr>
      <w:tr w:rsidR="006F6891" w:rsidRPr="00A2078E" w:rsidTr="006F689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r w:rsidRPr="00A2078E">
              <w:t>ИТОГО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D511F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91" w:rsidRPr="00A2078E" w:rsidRDefault="006F6891" w:rsidP="006D511F">
            <w:pPr>
              <w:jc w:val="center"/>
            </w:pPr>
            <w:r w:rsidRPr="00A2078E"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91" w:rsidRPr="00A2078E" w:rsidRDefault="006F6891" w:rsidP="006F6891">
            <w:pPr>
              <w:jc w:val="center"/>
            </w:pPr>
            <w:r>
              <w:t>34</w:t>
            </w:r>
          </w:p>
        </w:tc>
      </w:tr>
    </w:tbl>
    <w:p w:rsidR="006F6891" w:rsidRPr="00A2078E" w:rsidRDefault="006F6891" w:rsidP="006F0C47">
      <w:pPr>
        <w:jc w:val="both"/>
      </w:pPr>
    </w:p>
    <w:sectPr w:rsidR="006F6891" w:rsidRPr="00A2078E" w:rsidSect="006F0C4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42AB"/>
    <w:multiLevelType w:val="hybridMultilevel"/>
    <w:tmpl w:val="B82E45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8F77A3"/>
    <w:multiLevelType w:val="hybridMultilevel"/>
    <w:tmpl w:val="0CB4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020E"/>
    <w:rsid w:val="00006941"/>
    <w:rsid w:val="00230BC7"/>
    <w:rsid w:val="00490646"/>
    <w:rsid w:val="004B3E07"/>
    <w:rsid w:val="004E5D4D"/>
    <w:rsid w:val="00524CD1"/>
    <w:rsid w:val="00567A38"/>
    <w:rsid w:val="00640024"/>
    <w:rsid w:val="00660989"/>
    <w:rsid w:val="006E2DA7"/>
    <w:rsid w:val="006F0C47"/>
    <w:rsid w:val="006F6891"/>
    <w:rsid w:val="00700FE6"/>
    <w:rsid w:val="007B1B6E"/>
    <w:rsid w:val="0091642C"/>
    <w:rsid w:val="00921D19"/>
    <w:rsid w:val="009F5AD6"/>
    <w:rsid w:val="00A72D37"/>
    <w:rsid w:val="00B11C6F"/>
    <w:rsid w:val="00B42DBD"/>
    <w:rsid w:val="00BF5D2D"/>
    <w:rsid w:val="00C2020E"/>
    <w:rsid w:val="00C42348"/>
    <w:rsid w:val="00D447F9"/>
    <w:rsid w:val="00E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0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C2020E"/>
  </w:style>
  <w:style w:type="paragraph" w:styleId="a5">
    <w:name w:val="Normal (Web)"/>
    <w:basedOn w:val="a"/>
    <w:uiPriority w:val="99"/>
    <w:unhideWhenUsed/>
    <w:rsid w:val="00C2020E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39"/>
    <w:rsid w:val="006F0C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6F0C47"/>
    <w:pPr>
      <w:jc w:val="center"/>
    </w:pPr>
    <w:rPr>
      <w:rFonts w:eastAsia="Times New Roman"/>
      <w:sz w:val="28"/>
    </w:rPr>
  </w:style>
  <w:style w:type="character" w:customStyle="1" w:styleId="a8">
    <w:name w:val="Название Знак"/>
    <w:basedOn w:val="a0"/>
    <w:link w:val="a7"/>
    <w:rsid w:val="006F0C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caption">
    <w:name w:val="doccaption"/>
    <w:basedOn w:val="a0"/>
    <w:rsid w:val="00BF5D2D"/>
  </w:style>
  <w:style w:type="character" w:styleId="a9">
    <w:name w:val="Hyperlink"/>
    <w:basedOn w:val="a0"/>
    <w:uiPriority w:val="99"/>
    <w:semiHidden/>
    <w:unhideWhenUsed/>
    <w:rsid w:val="00BF5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50936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2022-09-28T06:34:00Z</cp:lastPrinted>
  <dcterms:created xsi:type="dcterms:W3CDTF">2022-06-14T07:24:00Z</dcterms:created>
  <dcterms:modified xsi:type="dcterms:W3CDTF">2023-10-09T05:18:00Z</dcterms:modified>
</cp:coreProperties>
</file>